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FD5BEE" w:rsidP="00015497">
      <w:pPr>
        <w:pStyle w:val="ConsTitle"/>
        <w:widowControl/>
        <w:tabs>
          <w:tab w:val="left" w:pos="1620"/>
        </w:tabs>
        <w:jc w:val="center"/>
        <w:rPr>
          <w:rFonts w:ascii="Times New Roman" w:hAnsi="Times New Roman"/>
          <w:sz w:val="24"/>
          <w:szCs w:val="24"/>
        </w:rPr>
      </w:pPr>
      <w:bookmarkStart w:id="0" w:name="_GoBack"/>
      <w:bookmarkEnd w:id="0"/>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953371" w:rsidP="00015497">
      <w:pPr>
        <w:ind w:firstLine="708"/>
        <w:jc w:val="both"/>
        <w:rPr>
          <w:sz w:val="24"/>
          <w:szCs w:val="24"/>
        </w:rPr>
      </w:pPr>
      <w:r w:rsidRPr="00953371">
        <w:rPr>
          <w:sz w:val="24"/>
          <w:szCs w:val="24"/>
        </w:rPr>
        <w:t>Негосударственное учреждение здравоохранения «Узловая поликлиника на станции Орехово-Зуево открытого акционерного общества «Российские железные</w:t>
      </w:r>
      <w:r>
        <w:rPr>
          <w:sz w:val="24"/>
          <w:szCs w:val="24"/>
        </w:rPr>
        <w:t xml:space="preserve"> дороги»</w:t>
      </w:r>
      <w:r w:rsidR="00FD5BEE" w:rsidRPr="00EF0EC1">
        <w:rPr>
          <w:sz w:val="24"/>
          <w:szCs w:val="24"/>
        </w:rPr>
        <w:t>, именуемое дале</w:t>
      </w:r>
      <w:r>
        <w:rPr>
          <w:sz w:val="24"/>
          <w:szCs w:val="24"/>
        </w:rPr>
        <w:t>е «Покупатель», в лице главного врача</w:t>
      </w:r>
      <w:r w:rsidR="00FD5BEE" w:rsidRPr="00EF0EC1">
        <w:rPr>
          <w:sz w:val="24"/>
          <w:szCs w:val="24"/>
        </w:rPr>
        <w:t xml:space="preserve"> </w:t>
      </w:r>
      <w:r w:rsidR="0053721A">
        <w:rPr>
          <w:sz w:val="24"/>
          <w:szCs w:val="24"/>
        </w:rPr>
        <w:t>Зыкова Павла Викторовича, действующего на основании У</w:t>
      </w:r>
      <w:r w:rsidR="00FD5BEE" w:rsidRPr="00EF0EC1">
        <w:rPr>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исполнения Поставщиком обязательств по поставке Товара: с даты заключения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 xml:space="preserve">3.1.1. 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Pr="00EF0EC1">
        <w:rPr>
          <w:rFonts w:ascii="Times New Roman" w:hAnsi="Times New Roman" w:cs="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от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 xml:space="preserve">ественной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412-36-83;</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r w:rsidR="00BA7D36">
        <w:rPr>
          <w:shd w:val="clear" w:color="auto" w:fill="FFFFFF"/>
        </w:rPr>
        <w:t>ozmpgd@yandex</w:t>
      </w:r>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 .</w:t>
      </w:r>
    </w:p>
    <w:p w:rsidR="00FD5BEE" w:rsidRPr="00EF0EC1" w:rsidRDefault="00FD5BEE" w:rsidP="00015497">
      <w:pPr>
        <w:pStyle w:val="Standard"/>
        <w:spacing w:line="276" w:lineRule="auto"/>
        <w:ind w:firstLine="709"/>
        <w:jc w:val="both"/>
      </w:pPr>
      <w:r w:rsidRPr="00EF0EC1">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r w:rsidRPr="00270920">
        <w:rPr>
          <w:sz w:val="24"/>
          <w:szCs w:val="24"/>
        </w:rPr>
        <w:t>зарегистрирован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 xml:space="preserve">13.2 Если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27057F">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Default="00DD1F6B" w:rsidP="00DD1F6B">
            <w:pPr>
              <w:rPr>
                <w:sz w:val="24"/>
                <w:szCs w:val="24"/>
              </w:rPr>
            </w:pPr>
            <w:r w:rsidRPr="00DD1F6B">
              <w:rPr>
                <w:sz w:val="24"/>
                <w:szCs w:val="24"/>
              </w:rPr>
              <w:t xml:space="preserve">НУЗ «Узловая поликлиника </w:t>
            </w:r>
          </w:p>
          <w:p w:rsidR="00DD1F6B" w:rsidRPr="00DD1F6B" w:rsidRDefault="00DD1F6B" w:rsidP="00DD1F6B">
            <w:pPr>
              <w:rPr>
                <w:sz w:val="24"/>
                <w:szCs w:val="24"/>
              </w:rPr>
            </w:pPr>
            <w:r w:rsidRPr="00DD1F6B">
              <w:rPr>
                <w:sz w:val="24"/>
                <w:szCs w:val="24"/>
              </w:rPr>
              <w:t>на ст. Орехово-Зуево ОАО «РЖД»</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r w:rsidRPr="00DD1F6B">
              <w:rPr>
                <w:sz w:val="24"/>
                <w:szCs w:val="24"/>
              </w:rPr>
              <w:t>р/с 40703810640310100328</w:t>
            </w:r>
          </w:p>
          <w:p w:rsidR="001D1520" w:rsidRPr="00DD1F6B" w:rsidRDefault="001D1520" w:rsidP="00DD1F6B">
            <w:pPr>
              <w:rPr>
                <w:sz w:val="24"/>
                <w:szCs w:val="24"/>
              </w:rPr>
            </w:pPr>
            <w:r w:rsidRPr="001D1520">
              <w:rPr>
                <w:sz w:val="24"/>
                <w:szCs w:val="24"/>
              </w:rPr>
              <w:t>р/с 40703810840000000237</w:t>
            </w:r>
          </w:p>
          <w:p w:rsidR="00DD1F6B" w:rsidRPr="00DD1F6B" w:rsidRDefault="00DD1F6B" w:rsidP="00DD1F6B">
            <w:pPr>
              <w:rPr>
                <w:sz w:val="24"/>
                <w:szCs w:val="24"/>
              </w:rPr>
            </w:pPr>
            <w:r w:rsidRPr="00DD1F6B">
              <w:rPr>
                <w:sz w:val="24"/>
                <w:szCs w:val="24"/>
              </w:rPr>
              <w:t xml:space="preserve">ПАО «Сбербанк» г.Москва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53721A">
              <w:rPr>
                <w:sz w:val="24"/>
                <w:szCs w:val="24"/>
              </w:rPr>
              <w:t xml:space="preserve"> 044525225 </w:t>
            </w:r>
          </w:p>
          <w:p w:rsidR="000B53DF" w:rsidRPr="000B53DF" w:rsidRDefault="000B53DF" w:rsidP="00DD1F6B">
            <w:pPr>
              <w:rPr>
                <w:sz w:val="24"/>
                <w:szCs w:val="24"/>
              </w:rPr>
            </w:pPr>
            <w:r>
              <w:rPr>
                <w:sz w:val="24"/>
                <w:szCs w:val="24"/>
              </w:rPr>
              <w:t>Тел.: 8 (496) 412-38-56</w:t>
            </w:r>
          </w:p>
          <w:p w:rsidR="000A0289" w:rsidRPr="0053721A" w:rsidRDefault="00DD1F6B" w:rsidP="00DD1F6B">
            <w:pPr>
              <w:rPr>
                <w:sz w:val="24"/>
                <w:szCs w:val="24"/>
              </w:rPr>
            </w:pPr>
            <w:r>
              <w:rPr>
                <w:sz w:val="24"/>
                <w:szCs w:val="24"/>
              </w:rPr>
              <w:t>Е</w:t>
            </w:r>
            <w:r w:rsidR="000B53DF" w:rsidRPr="0053721A">
              <w:rPr>
                <w:sz w:val="24"/>
                <w:szCs w:val="24"/>
              </w:rPr>
              <w:t>-</w:t>
            </w:r>
            <w:r w:rsidR="000B53DF" w:rsidRPr="000B53DF">
              <w:rPr>
                <w:sz w:val="24"/>
                <w:szCs w:val="24"/>
                <w:lang w:val="en-US"/>
              </w:rPr>
              <w:t>mail</w:t>
            </w:r>
            <w:r w:rsidR="000B53DF" w:rsidRPr="0053721A">
              <w:rPr>
                <w:sz w:val="24"/>
                <w:szCs w:val="24"/>
              </w:rPr>
              <w:t xml:space="preserve">: </w:t>
            </w:r>
            <w:r w:rsidRPr="000B53DF">
              <w:rPr>
                <w:sz w:val="24"/>
                <w:szCs w:val="24"/>
                <w:lang w:val="en-US"/>
              </w:rPr>
              <w:t>ozmpgd</w:t>
            </w:r>
            <w:r w:rsidRPr="0053721A">
              <w:rPr>
                <w:sz w:val="24"/>
                <w:szCs w:val="24"/>
              </w:rPr>
              <w:t>@</w:t>
            </w:r>
            <w:r w:rsidRPr="000B53DF">
              <w:rPr>
                <w:sz w:val="24"/>
                <w:szCs w:val="24"/>
                <w:lang w:val="en-US"/>
              </w:rPr>
              <w:t>yandex</w:t>
            </w:r>
            <w:r w:rsidRPr="0053721A">
              <w:rPr>
                <w:sz w:val="24"/>
                <w:szCs w:val="24"/>
              </w:rPr>
              <w:t>.</w:t>
            </w:r>
            <w:r w:rsidRPr="000B53DF">
              <w:rPr>
                <w:sz w:val="24"/>
                <w:szCs w:val="24"/>
                <w:lang w:val="en-US"/>
              </w:rPr>
              <w:t>ru</w:t>
            </w:r>
          </w:p>
          <w:p w:rsidR="000A0289" w:rsidRPr="0053721A" w:rsidRDefault="000A0289" w:rsidP="000A0289">
            <w:pPr>
              <w:pStyle w:val="ConsNormal"/>
              <w:ind w:firstLine="0"/>
              <w:jc w:val="both"/>
              <w:rPr>
                <w:rFonts w:ascii="Times New Roman" w:hAnsi="Times New Roman"/>
                <w:sz w:val="24"/>
                <w:szCs w:val="24"/>
              </w:rPr>
            </w:pPr>
          </w:p>
          <w:p w:rsidR="000A0289" w:rsidRPr="002C6BB3" w:rsidRDefault="00DD1F6B" w:rsidP="000A0289">
            <w:pPr>
              <w:rPr>
                <w:sz w:val="24"/>
                <w:szCs w:val="24"/>
              </w:rPr>
            </w:pPr>
            <w:r>
              <w:rPr>
                <w:sz w:val="24"/>
                <w:szCs w:val="24"/>
              </w:rPr>
              <w:t>Главный врач</w:t>
            </w:r>
          </w:p>
          <w:p w:rsidR="002B12FC" w:rsidRDefault="00DD1F6B" w:rsidP="00DD1F6B">
            <w:pPr>
              <w:pStyle w:val="a6"/>
              <w:suppressAutoHyphens/>
              <w:spacing w:after="200" w:line="216" w:lineRule="auto"/>
              <w:jc w:val="both"/>
              <w:textAlignment w:val="baseline"/>
              <w:rPr>
                <w:rFonts w:ascii="Times New Roman" w:hAnsi="Times New Roman"/>
                <w:sz w:val="24"/>
                <w:szCs w:val="24"/>
                <w:lang w:val="ru-RU"/>
              </w:rPr>
            </w:pPr>
            <w:r>
              <w:rPr>
                <w:rFonts w:ascii="Times New Roman" w:hAnsi="Times New Roman"/>
                <w:sz w:val="24"/>
                <w:szCs w:val="24"/>
                <w:lang w:val="ru-RU"/>
              </w:rPr>
              <w:t xml:space="preserve">НУЗ «Узловая поликлиника </w:t>
            </w:r>
          </w:p>
          <w:p w:rsidR="00FD5BEE" w:rsidRPr="00DD1F6B" w:rsidRDefault="00DD1F6B" w:rsidP="00DD1F6B">
            <w:pPr>
              <w:pStyle w:val="a6"/>
              <w:suppressAutoHyphens/>
              <w:spacing w:after="200" w:line="216" w:lineRule="auto"/>
              <w:jc w:val="both"/>
              <w:textAlignment w:val="baseline"/>
              <w:rPr>
                <w:rFonts w:ascii="Times New Roman" w:hAnsi="Times New Roman"/>
                <w:sz w:val="24"/>
                <w:szCs w:val="24"/>
                <w:lang w:val="ru-RU"/>
              </w:rPr>
            </w:pPr>
            <w:r w:rsidRPr="00DD1F6B">
              <w:rPr>
                <w:rFonts w:ascii="Times New Roman" w:hAnsi="Times New Roman"/>
                <w:sz w:val="24"/>
                <w:szCs w:val="24"/>
                <w:lang w:val="ru-RU"/>
              </w:rPr>
              <w:t>на ст. Орехово-Зуево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27057F">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CB1E51"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П.В. Зыков</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Pr="00EF0EC1" w:rsidRDefault="00FD5BEE" w:rsidP="00015497">
      <w:pPr>
        <w:pStyle w:val="a3"/>
        <w:jc w:val="both"/>
        <w:rPr>
          <w:b/>
          <w:bCs/>
          <w:sz w:val="24"/>
          <w:szCs w:val="24"/>
        </w:rPr>
      </w:pPr>
    </w:p>
    <w:p w:rsidR="000A0289" w:rsidRPr="00FB23E0" w:rsidRDefault="00FB23E0" w:rsidP="00FB23E0">
      <w:pPr>
        <w:pStyle w:val="Textbody"/>
        <w:jc w:val="both"/>
        <w:rPr>
          <w:b/>
          <w:bCs/>
        </w:rPr>
      </w:pPr>
      <w:r>
        <w:rPr>
          <w:b/>
          <w:bCs/>
        </w:rPr>
        <w:t xml:space="preserve">                  </w:t>
      </w: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 xml:space="preserve">Итого по Спецификации - </w:t>
      </w:r>
      <w:r w:rsidRPr="00EF0EC1">
        <w:rPr>
          <w:rStyle w:val="4"/>
          <w:iCs/>
          <w:sz w:val="24"/>
          <w:szCs w:val="24"/>
        </w:rPr>
        <w:t>______  (___________) 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1588B" w:rsidP="000A0289">
      <w:pPr>
        <w:pStyle w:val="Standard"/>
        <w:tabs>
          <w:tab w:val="left" w:pos="1040"/>
          <w:tab w:val="left" w:pos="1440"/>
          <w:tab w:val="left" w:pos="8000"/>
        </w:tabs>
        <w:spacing w:line="360" w:lineRule="auto"/>
        <w:jc w:val="both"/>
      </w:pPr>
      <w:r>
        <w:t>Главный врач</w:t>
      </w:r>
    </w:p>
    <w:p w:rsidR="00FD5BEE" w:rsidRPr="00725CC6" w:rsidRDefault="00BC2B17" w:rsidP="000A0289">
      <w:pPr>
        <w:pStyle w:val="Standard"/>
        <w:jc w:val="both"/>
      </w:pPr>
      <w:r>
        <w:t>_______________  П.В. Зыков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97"/>
    <w:rsid w:val="00015497"/>
    <w:rsid w:val="0001588B"/>
    <w:rsid w:val="000212F7"/>
    <w:rsid w:val="000A0289"/>
    <w:rsid w:val="000B53DF"/>
    <w:rsid w:val="000C1468"/>
    <w:rsid w:val="00100846"/>
    <w:rsid w:val="00107765"/>
    <w:rsid w:val="00117531"/>
    <w:rsid w:val="001B2B17"/>
    <w:rsid w:val="001C0498"/>
    <w:rsid w:val="001D1520"/>
    <w:rsid w:val="0027056B"/>
    <w:rsid w:val="0027057F"/>
    <w:rsid w:val="00270920"/>
    <w:rsid w:val="002A17AC"/>
    <w:rsid w:val="002B12FC"/>
    <w:rsid w:val="00467637"/>
    <w:rsid w:val="0053721A"/>
    <w:rsid w:val="00650133"/>
    <w:rsid w:val="00655D80"/>
    <w:rsid w:val="006951EC"/>
    <w:rsid w:val="006D0FA6"/>
    <w:rsid w:val="006D14B9"/>
    <w:rsid w:val="006E19FC"/>
    <w:rsid w:val="00702CCF"/>
    <w:rsid w:val="00706B2D"/>
    <w:rsid w:val="00725CC6"/>
    <w:rsid w:val="007816E1"/>
    <w:rsid w:val="007C2CC1"/>
    <w:rsid w:val="00821484"/>
    <w:rsid w:val="00832660"/>
    <w:rsid w:val="00850D01"/>
    <w:rsid w:val="008550DC"/>
    <w:rsid w:val="008B6CAD"/>
    <w:rsid w:val="008C61DE"/>
    <w:rsid w:val="008F471E"/>
    <w:rsid w:val="009262D2"/>
    <w:rsid w:val="00953371"/>
    <w:rsid w:val="009A78D1"/>
    <w:rsid w:val="009E7B5C"/>
    <w:rsid w:val="00A14B34"/>
    <w:rsid w:val="00A40396"/>
    <w:rsid w:val="00A5614C"/>
    <w:rsid w:val="00AB50C7"/>
    <w:rsid w:val="00AB77DC"/>
    <w:rsid w:val="00B03828"/>
    <w:rsid w:val="00B127EA"/>
    <w:rsid w:val="00B12FF3"/>
    <w:rsid w:val="00B62A3E"/>
    <w:rsid w:val="00B97C7E"/>
    <w:rsid w:val="00BA7D36"/>
    <w:rsid w:val="00BC2B03"/>
    <w:rsid w:val="00BC2B17"/>
    <w:rsid w:val="00BD0278"/>
    <w:rsid w:val="00BF66A8"/>
    <w:rsid w:val="00C17B32"/>
    <w:rsid w:val="00C60034"/>
    <w:rsid w:val="00C720C3"/>
    <w:rsid w:val="00C813DF"/>
    <w:rsid w:val="00CB1E51"/>
    <w:rsid w:val="00CB4BF5"/>
    <w:rsid w:val="00CB7FB7"/>
    <w:rsid w:val="00CC2F2F"/>
    <w:rsid w:val="00D161B5"/>
    <w:rsid w:val="00D20D3B"/>
    <w:rsid w:val="00D53586"/>
    <w:rsid w:val="00D57F17"/>
    <w:rsid w:val="00D75E70"/>
    <w:rsid w:val="00D81F13"/>
    <w:rsid w:val="00D93B44"/>
    <w:rsid w:val="00DA1AA0"/>
    <w:rsid w:val="00DC77B6"/>
    <w:rsid w:val="00DD1F6B"/>
    <w:rsid w:val="00E111F4"/>
    <w:rsid w:val="00E4152B"/>
    <w:rsid w:val="00E432F4"/>
    <w:rsid w:val="00E83F84"/>
    <w:rsid w:val="00EC6CC0"/>
    <w:rsid w:val="00EF0EC1"/>
    <w:rsid w:val="00F3750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3874</Words>
  <Characters>22086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user</cp:lastModifiedBy>
  <cp:revision>2</cp:revision>
  <dcterms:created xsi:type="dcterms:W3CDTF">2019-07-04T14:10:00Z</dcterms:created>
  <dcterms:modified xsi:type="dcterms:W3CDTF">2019-07-04T14:10:00Z</dcterms:modified>
</cp:coreProperties>
</file>