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Обеспечение бесперебойного функционирования и повышение уровня надежности технических сре</w:t>
      </w:r>
      <w:proofErr w:type="gramStart"/>
      <w:r w:rsidRPr="00E5786A">
        <w:rPr>
          <w:rFonts w:eastAsia="Calibri" w:cs="Times New Roman"/>
          <w:sz w:val="20"/>
          <w:szCs w:val="20"/>
        </w:rPr>
        <w:t xml:space="preserve">дств в </w:t>
      </w:r>
      <w:r w:rsidR="00BF4D8D" w:rsidRPr="00BF4D8D">
        <w:rPr>
          <w:rFonts w:eastAsia="Calibri" w:cs="Times New Roman"/>
          <w:sz w:val="20"/>
          <w:szCs w:val="20"/>
        </w:rPr>
        <w:t>ч</w:t>
      </w:r>
      <w:proofErr w:type="gramEnd"/>
      <w:r w:rsidR="00BF4D8D" w:rsidRPr="00BF4D8D">
        <w:rPr>
          <w:rFonts w:eastAsia="Calibri" w:cs="Times New Roman"/>
          <w:sz w:val="20"/>
          <w:szCs w:val="20"/>
        </w:rPr>
        <w:t>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p w:rsidR="00966BBE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begin"/>
      </w:r>
      <w:r>
        <w:rPr>
          <w:rFonts w:eastAsia="Calibri" w:cs="Times New Roman"/>
          <w:b/>
          <w:sz w:val="20"/>
          <w:szCs w:val="20"/>
        </w:rPr>
        <w:instrText xml:space="preserve"> LINK Excel.Sheet.8 "C:\\data\\1CV77\\Price\\In\\Печать32.xls" "Sheet1!R18C2:R35C6" \a \f 5 \h  \* MERGEFORMAT </w:instrText>
      </w:r>
      <w:r>
        <w:rPr>
          <w:rFonts w:eastAsia="Calibri" w:cs="Times New Roman"/>
          <w:b/>
          <w:sz w:val="20"/>
          <w:szCs w:val="20"/>
        </w:rPr>
        <w:fldChar w:fldCharType="separate"/>
      </w:r>
    </w:p>
    <w:tbl>
      <w:tblPr>
        <w:tblStyle w:val="a4"/>
        <w:tblW w:w="6600" w:type="dxa"/>
        <w:tblLook w:val="04A0" w:firstRow="1" w:lastRow="0" w:firstColumn="1" w:lastColumn="0" w:noHBand="0" w:noVBand="1"/>
      </w:tblPr>
      <w:tblGrid>
        <w:gridCol w:w="559"/>
        <w:gridCol w:w="3932"/>
        <w:gridCol w:w="1154"/>
        <w:gridCol w:w="955"/>
      </w:tblGrid>
      <w:tr w:rsidR="00966BBE" w:rsidRPr="00966BBE" w:rsidTr="00966BBE">
        <w:trPr>
          <w:trHeight w:val="1020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Наименование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  <w:t>товара</w:t>
            </w:r>
          </w:p>
        </w:tc>
        <w:tc>
          <w:tcPr>
            <w:tcW w:w="86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Единица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изм</w:t>
            </w:r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е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</w:rPr>
              <w:t>-</w:t>
            </w:r>
            <w:proofErr w:type="gramEnd"/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  <w:t>рения</w:t>
            </w:r>
          </w:p>
        </w:tc>
        <w:tc>
          <w:tcPr>
            <w:tcW w:w="76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Кол</w:t>
            </w:r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и-</w:t>
            </w:r>
            <w:proofErr w:type="gramEnd"/>
            <w:r w:rsidRPr="00966BBE">
              <w:rPr>
                <w:rFonts w:eastAsia="Calibri" w:cs="Times New Roman"/>
                <w:b/>
                <w:sz w:val="20"/>
                <w:szCs w:val="20"/>
              </w:rPr>
              <w:br/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чество</w:t>
            </w:r>
            <w:proofErr w:type="spellEnd"/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Аккумуляторная батарея SVEN  для UPS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Жесткий диск 1 TB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Источник бесперебойного питания UPS Back-850VA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Ролик первичной зарядки HP LJ 1102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Селеновый вал HP LJ 1010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Селеновый вал  HP LJ 1102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 для картриджа HP LJ 1010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13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KYOCERA TK-1150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RX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</w:t>
            </w:r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t>для</w:t>
            </w:r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XEROX WorkCentre 3215/3225, </w:t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>Phaser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3052/3260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 xml:space="preserve">Тонер для картриджа </w:t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Brother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</w:rPr>
              <w:t xml:space="preserve"> 1075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 xml:space="preserve">Тонер для картриджа </w:t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</w:rPr>
              <w:t>Brother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</w:rPr>
              <w:t xml:space="preserve"> 2375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10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НР05А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НР280Х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НР83А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Тонер НР85А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43</w:t>
            </w:r>
          </w:p>
        </w:tc>
      </w:tr>
      <w:tr w:rsidR="00966BBE" w:rsidRPr="00966BBE" w:rsidTr="00966BBE">
        <w:trPr>
          <w:trHeight w:val="255"/>
        </w:trPr>
        <w:tc>
          <w:tcPr>
            <w:tcW w:w="40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80" w:type="dxa"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Чип</w:t>
            </w:r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966BBE">
              <w:rPr>
                <w:rFonts w:eastAsia="Calibri" w:cs="Times New Roman"/>
                <w:b/>
                <w:sz w:val="20"/>
                <w:szCs w:val="20"/>
              </w:rPr>
              <w:t>для</w:t>
            </w:r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XEROX WorkCentre 3215/3225, </w:t>
            </w:r>
            <w:proofErr w:type="spellStart"/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>Phaser</w:t>
            </w:r>
            <w:proofErr w:type="spellEnd"/>
            <w:r w:rsidRPr="00966BBE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3052/3260</w:t>
            </w:r>
          </w:p>
        </w:tc>
        <w:tc>
          <w:tcPr>
            <w:tcW w:w="8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66BBE">
              <w:rPr>
                <w:rFonts w:eastAsia="Calibri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noWrap/>
            <w:hideMark/>
          </w:tcPr>
          <w:p w:rsidR="00966BBE" w:rsidRPr="00966BBE" w:rsidRDefault="00966BBE" w:rsidP="00966BBE">
            <w:pPr>
              <w:ind w:left="142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66BBE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</w:tbl>
    <w:p w:rsidR="001D565C" w:rsidRDefault="00966BBE" w:rsidP="00A72E4C">
      <w:pPr>
        <w:spacing w:after="0"/>
        <w:ind w:left="142"/>
        <w:contextualSpacing/>
        <w:jc w:val="both"/>
      </w:pPr>
      <w:r>
        <w:rPr>
          <w:rFonts w:eastAsia="Calibri" w:cs="Times New Roman"/>
          <w:b/>
          <w:sz w:val="20"/>
          <w:szCs w:val="20"/>
        </w:rPr>
        <w:fldChar w:fldCharType="end"/>
      </w:r>
      <w:r w:rsidR="001D565C">
        <w:rPr>
          <w:rFonts w:eastAsia="Calibri" w:cs="Times New Roman"/>
          <w:b/>
          <w:sz w:val="20"/>
          <w:szCs w:val="20"/>
        </w:rPr>
        <w:fldChar w:fldCharType="begin"/>
      </w:r>
      <w:r w:rsidR="001D565C">
        <w:rPr>
          <w:rFonts w:eastAsia="Calibri" w:cs="Times New Roman"/>
          <w:b/>
          <w:sz w:val="20"/>
          <w:szCs w:val="20"/>
        </w:rPr>
        <w:instrText xml:space="preserve"> LINK Excel.Sheet.8 "C:\\data\\1CV77\\Price\\In\\Счет107.xls" "Sheet1!R19C2:R39C6" \a \f 5 \h  \* MERGEFORMAT </w:instrText>
      </w:r>
      <w:r w:rsidR="001D565C">
        <w:rPr>
          <w:rFonts w:eastAsia="Calibri" w:cs="Times New Roman"/>
          <w:b/>
          <w:sz w:val="20"/>
          <w:szCs w:val="20"/>
        </w:rPr>
        <w:fldChar w:fldCharType="separate"/>
      </w:r>
    </w:p>
    <w:p w:rsidR="00A65E43" w:rsidRPr="00E5786A" w:rsidRDefault="001D565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fldChar w:fldCharType="end"/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</w:t>
      </w:r>
      <w:bookmarkStart w:id="0" w:name="_GoBack"/>
      <w:bookmarkEnd w:id="0"/>
      <w:r w:rsidRPr="00942AD8">
        <w:rPr>
          <w:rFonts w:eastAsia="Calibri" w:cs="Times New Roman"/>
          <w:sz w:val="20"/>
          <w:szCs w:val="20"/>
        </w:rPr>
        <w:t>аправленных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lastRenderedPageBreak/>
        <w:t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подтверждающий  отправку по почте. </w:t>
      </w:r>
      <w:proofErr w:type="gramEnd"/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32C0C"/>
    <w:rsid w:val="001932F1"/>
    <w:rsid w:val="001D565C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36BA9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25ED"/>
    <w:rsid w:val="008F5A84"/>
    <w:rsid w:val="00942AD8"/>
    <w:rsid w:val="0095255B"/>
    <w:rsid w:val="00966BBE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D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D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user</cp:lastModifiedBy>
  <cp:revision>2</cp:revision>
  <dcterms:created xsi:type="dcterms:W3CDTF">2023-03-24T11:10:00Z</dcterms:created>
  <dcterms:modified xsi:type="dcterms:W3CDTF">2023-03-24T11:10:00Z</dcterms:modified>
</cp:coreProperties>
</file>